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08:59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vragen vanuit commissie, 20211124
              <text:span text:style-name="T2"/>
            </text:p>
            <text:p text:style-name="P3"/>
          </table:table-cell>
          <table:table-cell table:style-name="Table3.A2" office:value-type="string">
            <text:p text:style-name="P4">30-11-2021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74,55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vanuit-commissie-202111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Beantwoording technische vragen ChristenUnie, Raadsmemo's Onderzoek winsten aanbieders jeugdzorg en doorontwikkeld inkoopmodel
              <text:span text:style-name="T2"/>
            </text:p>
            <text:p text:style-name="P3"/>
          </table:table-cell>
          <table:table-cell table:style-name="Table3.A2" office:value-type="string">
            <text:p text:style-name="P4">22-11-2021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423,55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istenUnie-Raadsmemo-s-Onderzoek-winsten-aanbieders-jeugdzorg-en-doorontwikkeld-inkoopmodel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Beantwoording technische vragen Gemeentebelangen en ChristenUnie, Beleidsplan Preventiebeleid, Dalfsen vitaal en veerkrachtig
              <text:span text:style-name="T2"/>
            </text:p>
            <text:p text:style-name="P3"/>
          </table:table-cell>
          <table:table-cell table:style-name="Table3.A2" office:value-type="string">
            <text:p text:style-name="P4">22-11-2021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445,05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emeentebelangen-en-ChristenUnie-Beleidsplan-Preventiebeleid-Dalfsen-vitaal-en-veerkrachtig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Beantwoording technische vragen ChristenUnie, 
              <text:s/>
              Actieprogramma sociaal maatschappelijke effecten corona, Begrotingswijziging 2022
              <text:span text:style-name="T2"/>
            </text:p>
            <text:p text:style-name="P3"/>
          </table:table-cell>
          <table:table-cell table:style-name="Table3.A2" office:value-type="string">
            <text:p text:style-name="P4">22-11-2021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337,79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istenUnie-Actieprogramma-sociaal-maatschappelijke-effecten-corona-Begrotingswijziging-202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Beantwoording technische vragen Gemeentebelangen, Gemeentelijk Rioleringsplan 2022-2026, 20211115
              <text:span text:style-name="T2"/>
            </text:p>
            <text:p text:style-name="P3"/>
          </table:table-cell>
          <table:table-cell table:style-name="Table3.A2" office:value-type="string">
            <text:p text:style-name="P4">15-11-2021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350,79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emeentebelangen-Gemeentelijk-Rioleringsplan-2022-2026-2021111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Beantwoording technische vragen ChristenUnie, Gemeentelijk Rioleringsplan 2022-2026, 20211115
              <text:span text:style-name="T2"/>
            </text:p>
            <text:p text:style-name="P3"/>
          </table:table-cell>
          <table:table-cell table:style-name="Table3.A2" office:value-type="string">
            <text:p text:style-name="P4">15-11-2021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348,14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istenUnie-Gemeentelijk-Rioleringsplan-2022-2026-2021111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Beantwoording technische vragen ChristenUnie, Transitievisie warmte 1.0, 20211115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15-11-2021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342,06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istenUnie-Transitievisie-warmte-1-0-2021111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Beantwoording technische vragen Gemeentebelangen, IBOR, 20211115
              <text:span text:style-name="T2"/>
            </text:p>
            <text:p text:style-name="P3"/>
          </table:table-cell>
          <table:table-cell table:style-name="Table3.A2" office:value-type="string">
            <text:p text:style-name="P4">15-11-2021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355,17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emeentebelangen-IBOR-2021111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Beantwoording technische vragen ChristenUnie, IBOR, 20211115
              <text:span text:style-name="T2"/>
            </text:p>
            <text:p text:style-name="P3"/>
          </table:table-cell>
          <table:table-cell table:style-name="Table3.A2" office:value-type="string">
            <text:p text:style-name="P4">15-11-2021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354,06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istenUnie-IBOR-2021111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Beantwoording technische vragen CDA, IBOR, 20211115
              <text:span text:style-name="T2"/>
            </text:p>
            <text:p text:style-name="P3"/>
          </table:table-cell>
          <table:table-cell table:style-name="Table3.A2" office:value-type="string">
            <text:p text:style-name="P4">15-11-2021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346,17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DA-IBOR-20211115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62" meta:character-count="1312" meta:non-whitespace-character-count="121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1257707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1257707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