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15:32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7" meta:character-count="921" meta:non-whitespace-character-count="8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