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16:54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26" w:history="1">
        <w:r>
          <w:rPr>
            <w:rFonts w:ascii="Arial" w:hAnsi="Arial" w:eastAsia="Arial" w:cs="Arial"/>
            <w:color w:val="155CAA"/>
            <w:u w:val="single"/>
          </w:rPr>
          <w:t xml:space="preserve">1 Schriftelijke vragen art 30 RvO, Gemeentebelangen, Ongeluk Welsummerweg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26"/>
      <w:r w:rsidRPr="00A448AC">
        <w:rPr>
          <w:rFonts w:ascii="Arial" w:hAnsi="Arial" w:cs="Arial"/>
          <w:b/>
          <w:bCs/>
          <w:color w:val="303F4C"/>
          <w:lang w:val="en-US"/>
        </w:rPr>
        <w:t>Schriftelijke vragen art 30 RvO, Gemeentebelangen, Ongeluk Welsummerweg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 13:30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Openstaand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Gemeentebelangen, Ongeluk Welsummerweg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-art-30-RvO-Gemeentebelangen-Ongeluk-Welsummerwe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