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6" w:history="1">
        <w:r>
          <w:rPr>
            <w:rFonts w:ascii="Arial" w:hAnsi="Arial" w:eastAsia="Arial" w:cs="Arial"/>
            <w:color w:val="155CAA"/>
            <w:u w:val="single"/>
          </w:rPr>
          <w:t xml:space="preserve">1 VVD, Overlast door veiligelanders op Vechtdallijn, Raad 14 december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6"/>
      <w:r w:rsidRPr="00A448AC">
        <w:rPr>
          <w:rFonts w:ascii="Arial" w:hAnsi="Arial" w:cs="Arial"/>
          <w:b/>
          <w:bCs/>
          <w:color w:val="303F4C"/>
          <w:lang w:val="en-US"/>
        </w:rPr>
        <w:t>VVD, Overlast door veiligelanders op Vechtdallijn, Raad 14 december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Overlast door veiligelanders op Vechtdallijn, 20201103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Overlast door veiligelanders,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Overlast-door-veiligelanders-op-Vechtdallijn-20201103.pdf" TargetMode="External" /><Relationship Id="rId25" Type="http://schemas.openxmlformats.org/officeDocument/2006/relationships/hyperlink" Target="https://ris.dalfsen.nl//Raadsinformatie/Bijlage/Beantwoording-Schriftelijke-vragen-art-32-RvO-VVD-Overlast-door-veiligelanders-202011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