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18" text:style-name="Internet_20_link" text:visited-style-name="Visited_20_Internet_20_Link">
              <text:span text:style-name="ListLabel_20_28">
                <text:span text:style-name="T8">1 Schriftelijke vragen art 32 RvO, ChristenUnie, Openbare toiletvoorzieningen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18"/>
        Schriftelijke vragen art 32 RvO, ChristenUnie, Openbare toiletvoorzieningen
        <text:bookmark-end text:name="432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16-11-2023 16:48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ChristenUnie, Openbare toiletvoorzieningen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111,18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ChristenUnie-Openbare-toiletvoorzien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ChristenUnie, Openbare toiletvoorzieningen
              <text:span text:style-name="T3"/>
            </text:p>
            <text:p text:style-name="P7"/>
          </table:table-cell>
          <table:table-cell table:style-name="Table4.A2" office:value-type="string">
            <text:p text:style-name="P8">16-10-2023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67,42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ChristenUnie-Openbare-toiletvoorziening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99" meta:non-whitespace-character-count="5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323224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323224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