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7" text:style-name="Internet_20_link" text:visited-style-name="Visited_20_Internet_20_Link">
              <text:span text:style-name="ListLabel_20_28">
                <text:span text:style-name="T8">1 Schriftelijke vragen art 32, Gemeentebelangen, Omgevingsdienst IJsselland,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7"/>
        Schriftelijke vragen art 32, Gemeentebelangen, Omgevingsdienst IJsselland, 20220707
        <text:bookmark-end text:name="428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21-07-2022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Gemeentebelangen, Omgevingsdienst IJsselland,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Gemeentebelangen-Omgevingsdienst-IJsselland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ex. art. 32 Gemeentebelangen, Omgevingsdienst IJsselland, 20220721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108,11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ex-art-32-Gemeentebelangen-Omgevingsdienst-IJsselland-202207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636" meta:non-whitespace-character-count="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