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02:42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1" text:style-name="Internet_20_link" text:visited-style-name="Visited_20_Internet_20_Link">
              <text:span text:style-name="ListLabel_20_28">
                <text:span text:style-name="T8">1 Gemeentebelangen, Lokale ontheffingen, Raad 25 mei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1"/>
        Gemeentebelangen, Lokale ontheffingen, Raad 25 mei 2021
        <text:bookmark-end text:name="424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19-05-2021 10:12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vragen, art 32, Gemeentebelangen, Lokale ontheffingen, 20210305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131,93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Gemeentebelangen-Lokale-ontheffingen-202103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GB, Lokale ontheffingen, Raad 25 mei 2021, 20210519
              <text:span text:style-name="T3"/>
            </text:p>
            <text:p text:style-name="P7"/>
          </table:table-cell>
          <table:table-cell table:style-name="Table4.A2" office:value-type="string">
            <text:p text:style-name="P8">19-05-2021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211,83 KB</text:p>
          </table:table-cell>
          <table:table-cell table:style-name="Table4.A2" office:value-type="string">
            <text:p text:style-name="P33">
              <text:a xlink:type="simple" xlink:href="https://ris.dalfsen.nl//Raadsinformatie/Technische-vragen/Beantwoording-schriftelijke-vragen-art-32-GB-Lokale-ontheffingen-Raad-25-mei-2021-202105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67" meta:non-whitespace-character-count="5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