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2" text:style-name="Internet_20_link" text:visited-style-name="Visited_20_Internet_20_Link">
              <text:span text:style-name="ListLabel_20_28">
                <text:span text:style-name="T8">1 CDA-CU-PvdA-VVD-D66, Crisisarrangementen binnensteden, Raad 26 april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2"/>
        CDA-CU-PvdA-VVD-D66, Crisisarrangementen binnensteden, Raad 26 april 2021
        <text:bookmark-end text:name="424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22-04-2021 18:33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vragen, art 32, CDA-CU-PvdA-VVD-D66, Crisisarrangementen binnensteden, 20210406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370,56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DA-CU-PvdA-VVD-D66-Crisisarrangementen-binnensteden-2021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CDA-CU-PvdA-VVD-D66, Crisisarrangementen binnensteden, 20210422
              <text:span text:style-name="T3"/>
            </text:p>
            <text:p text:style-name="P7"/>
          </table:table-cell>
          <table:table-cell table:style-name="Table4.A2" office:value-type="string">
            <text:p text:style-name="P8">22-04-2021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394,43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DA-CU-PvdA-VVD-D66-Crisisarrangementen-binnensteden-202104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631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