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19:20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26" text:style-name="Internet_20_link" text:visited-style-name="Visited_20_Internet_20_Link">
              <text:span text:style-name="ListLabel_20_28">
                <text:span text:style-name="T8">1 Schriftelijke vragen art 30 RvO, Gemeentebelangen, Ongeluk Welsummerweg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6"/>
        Schriftelijke vragen art 30 RvO, Gemeentebelangen, Ongeluk Welsummerweg
        <text:bookmark-end text:name="438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13-06-2025 10:51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30 RvO, GB,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16-05-2025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22,53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-art-30-RvO-Gemeentebelangen-Ongeluk-Welsummer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30 RvO, GB,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13-06-2025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575,47 KB</text:p>
          </table:table-cell>
          <table:table-cell table:style-name="Table4.A2" office:value-type="string">
            <text:p text:style-name="P33">
              <text:a xlink:type="simple" xlink:href="https://ris.dalfsen.nl//Raadsinformatie/Beantwoording-schriftelijke-vragen-art-30-RvO-GB-Ongeluk-Welsummerwe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8" meta:character-count="555" meta:non-whitespace-character-count="5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1082003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1082003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