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1 Schriftelijke vragen art. 30 RVO, Gemeentebelangen, Gemeentelijke zwembaden en zwemlessen</text:span>
              </text:span>
            </text:a>
          </text:p>
        </text:list-item>
        <text:list-item>
          <text:p text:style-name="P2" loext:marker-style-name="T5">
            <text:a xlink:type="simple" xlink:href="#43765" text:style-name="Internet_20_link" text:visited-style-name="Visited_20_Internet_20_Link">
              <text:span text:style-name="ListLabel_20_28">
                <text:span text:style-name="T8">2 Schriftelijke vragen art. 30 RVO, ChristenUnie, Openbare zwembaden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70"/>
        Schriftelijke vragen art. 30 RVO, Gemeentebelangen, Gemeentelijke zwembaden en zwemlessen
        <text:bookmark-end text:name="43770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06-05-2025 18:32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4.A2" office:value-type="string">
            <text:p text:style-name="P8">15-04-2025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4.A2" office:value-type="string">
            <text:p text:style-name="P8">06-05-2025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6.A2" office:value-type="string">
            <text:p text:style-name="P8">07-04-2025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51" meta:character-count="1122" meta:non-whitespace-character-count="10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