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9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D66,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4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RvO, D66, Energielabel C Kantoren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9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4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Energielabel C Kantoren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D66-Welsummerweg.pdf" TargetMode="External" /><Relationship Id="rId25" Type="http://schemas.openxmlformats.org/officeDocument/2006/relationships/hyperlink" Target="https://ris.dalfsen.nl//Raadsinformatie/Bijlage/Beantwoording-schriftelijke-vragen-art-32-RvO-D66-Welsummerweg.pdf" TargetMode="External" /><Relationship Id="rId26" Type="http://schemas.openxmlformats.org/officeDocument/2006/relationships/hyperlink" Target="https://ris.dalfsen.nl//Raadsinformatie/Bijlage/Schriftelijke-vragen-art-32-RvO-D66-Energielabel-C-Kantoren.pdf" TargetMode="External" /><Relationship Id="rId27" Type="http://schemas.openxmlformats.org/officeDocument/2006/relationships/hyperlink" Target="https://ris.dalfsen.nl//Raadsinformatie/Bijlage/Beantwoording-schriftelijke-vragen-art-32-RvO-D66-Energielabel-C-Kantor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