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PvdA, Structurele overtreding APV ivm omgekeerde vlaggen,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Relationship Id="rId26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7" Type="http://schemas.openxmlformats.org/officeDocument/2006/relationships/hyperlink" Target="https://ris.dalfsen.nl//Raadsinformatie/Bijlage/Beantwoording-schriftelijke-vragen-art-32-PvdA-Structurele-overtreding-APV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