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5" w:history="1">
        <w:r>
          <w:rPr>
            <w:rFonts w:ascii="Arial" w:hAnsi="Arial" w:eastAsia="Arial" w:cs="Arial"/>
            <w:color w:val="155CAA"/>
            <w:u w:val="single"/>
          </w:rPr>
          <w:t xml:space="preserve">1 ChristenUnie, Fietspassage Vechterweerd, Raad 21 juni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1" w:history="1">
        <w:r>
          <w:rPr>
            <w:rFonts w:ascii="Arial" w:hAnsi="Arial" w:eastAsia="Arial" w:cs="Arial"/>
            <w:color w:val="155CAA"/>
            <w:u w:val="single"/>
          </w:rPr>
          <w:t xml:space="preserve">2 Gemeentebelangen, Lokale ontheffingen,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1" w:history="1">
        <w:r>
          <w:rPr>
            <w:rFonts w:ascii="Arial" w:hAnsi="Arial" w:eastAsia="Arial" w:cs="Arial"/>
            <w:color w:val="155CAA"/>
            <w:u w:val="single"/>
          </w:rPr>
          <w:t xml:space="preserve">3 ChristenUnie, TONK-regeling, Raad 25 mei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5"/>
      <w:r w:rsidRPr="00A448AC">
        <w:rPr>
          <w:rFonts w:ascii="Arial" w:hAnsi="Arial" w:cs="Arial"/>
          <w:b/>
          <w:bCs/>
          <w:color w:val="303F4C"/>
          <w:lang w:val="en-US"/>
        </w:rPr>
        <w:t>ChristenUnie, Fietspassage Vechterweerd, Raad 21 juni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fietspassage Vechterweerd, 20210510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fietspassage Vechterweerd,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1"/>
      <w:r w:rsidRPr="00A448AC">
        <w:rPr>
          <w:rFonts w:ascii="Arial" w:hAnsi="Arial" w:cs="Arial"/>
          <w:b/>
          <w:bCs/>
          <w:color w:val="303F4C"/>
          <w:lang w:val="en-US"/>
        </w:rPr>
        <w:t>Gemeentebelangen, Lokale ontheffingen,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Gemeentebelangen, Lokale ontheffingen, 20210305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GB, Lokale ontheffingen, Raad 25 mei 2021, 20210519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1"/>
      <w:r w:rsidRPr="00A448AC">
        <w:rPr>
          <w:rFonts w:ascii="Arial" w:hAnsi="Arial" w:cs="Arial"/>
          <w:b/>
          <w:bCs/>
          <w:color w:val="303F4C"/>
          <w:lang w:val="en-US"/>
        </w:rPr>
        <w:t>ChristenUnie, TONK-regeling,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TONK,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TONK, Raad 25 mei 2021, 20210512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fietspassage-Vechterweerd-20210510.pdf" TargetMode="External" /><Relationship Id="rId25" Type="http://schemas.openxmlformats.org/officeDocument/2006/relationships/hyperlink" Target="https://ris.dalfsen.nl//Raadsinformatie/Bijlage/Beantwoording-schriftelijke-vragen-art-32-ChristenUnie-fietspassage-Vechterweerd-20210617.pdf" TargetMode="External" /><Relationship Id="rId26" Type="http://schemas.openxmlformats.org/officeDocument/2006/relationships/hyperlink" Target="https://ris.dalfsen.nl//Raadsinformatie/Bijlage/Schriftelijke-vragen-art-32-Gemeentebelangen-Lokale-ontheffingen-20210305.pdf" TargetMode="External" /><Relationship Id="rId27" Type="http://schemas.openxmlformats.org/officeDocument/2006/relationships/hyperlink" Target="https://ris.dalfsen.nl//Raadsinformatie/Technische-vragen/Beantwoording-schriftelijke-vragen-art-32-GB-Lokale-ontheffingen-Raad-25-mei-2021-20210519.pdf" TargetMode="External" /><Relationship Id="rId28" Type="http://schemas.openxmlformats.org/officeDocument/2006/relationships/hyperlink" Target="https://ris.dalfsen.nl//Raadsinformatie/Bijlage/Schriftelijke-vragen-art-32-ChristenUnie-TONK-20210330.pdf" TargetMode="External" /><Relationship Id="rId29" Type="http://schemas.openxmlformats.org/officeDocument/2006/relationships/hyperlink" Target="https://ris.dalfsen.nl//Raadsinformatie/Bijlage/Beantwoording-schriftelijke-vragen-art-32-ChristenUnie-TONK-Raad-25-mei-2021-2021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