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39" w:history="1">
        <w:r>
          <w:rPr>
            <w:rFonts w:ascii="Arial" w:hAnsi="Arial" w:eastAsia="Arial" w:cs="Arial"/>
            <w:color w:val="155CAA"/>
            <w:u w:val="single"/>
          </w:rPr>
          <w:t xml:space="preserve">1 Voortgang Harmonisatie Kulturhusen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39"/>
      <w:r w:rsidRPr="00A448AC">
        <w:rPr>
          <w:rFonts w:ascii="Arial" w:hAnsi="Arial" w:cs="Arial"/>
          <w:b/>
          <w:bCs/>
          <w:color w:val="303F4C"/>
          <w:lang w:val="en-US"/>
        </w:rPr>
        <w:t>Voortgang Harmonisatie Kulturhusen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 17:20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 Harmonisatie Kulturhusen, 20240709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oortgang-Harmonisatie-Kulturhusen-202407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