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4" w:history="1">
        <w:r>
          <w:rPr>
            <w:rFonts w:ascii="Arial" w:hAnsi="Arial" w:eastAsia="Arial" w:cs="Arial"/>
            <w:color w:val="155CAA"/>
            <w:u w:val="single"/>
          </w:rPr>
          <w:t xml:space="preserve">1 Verantwoordingsrapportage BAG, BGT en BRO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4"/>
      <w:r w:rsidRPr="00A448AC">
        <w:rPr>
          <w:rFonts w:ascii="Arial" w:hAnsi="Arial" w:cs="Arial"/>
          <w:b/>
          <w:bCs/>
          <w:color w:val="303F4C"/>
          <w:lang w:val="en-US"/>
        </w:rPr>
        <w:t>Verantwoordingsrapportage BAG, BGT en BRO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Verantwoordingsrapportage BAG, BGT en BRO 2023, 20240313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antwoordingsrapportage-BAG-BGT-en-BRO-2023-202403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