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20:56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68" w:history="1">
        <w:r>
          <w:rPr>
            <w:rFonts w:ascii="Arial" w:hAnsi="Arial" w:eastAsia="Arial" w:cs="Arial"/>
            <w:color w:val="155CAA"/>
            <w:u w:val="single"/>
          </w:rPr>
          <w:t xml:space="preserve">1 Uitvoeringsprogramma Verkeer 2024-2026 en het SPV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68"/>
      <w:r w:rsidRPr="00A448AC">
        <w:rPr>
          <w:rFonts w:ascii="Arial" w:hAnsi="Arial" w:cs="Arial"/>
          <w:b/>
          <w:bCs/>
          <w:color w:val="303F4C"/>
          <w:lang w:val="en-US"/>
        </w:rPr>
        <w:t>Uitvoeringsprogramma Verkeer 2024-2026 en het SPV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29-04-2024 12:56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Uitvoeringsprogramma Verkeer 2024-2026 en het SPV, 20240429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15,01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Uitvoeringsprogramma-Verkeer-2024-2026-en-het-SPV-2024042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