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97" w:history="1">
        <w:r>
          <w:rPr>
            <w:rFonts w:ascii="Arial" w:hAnsi="Arial" w:eastAsia="Arial" w:cs="Arial"/>
            <w:color w:val="155CAA"/>
            <w:u w:val="single"/>
          </w:rPr>
          <w:t xml:space="preserve">1 Toepassing Beleid Sloop voor Kansen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97"/>
      <w:r w:rsidRPr="00A448AC">
        <w:rPr>
          <w:rFonts w:ascii="Arial" w:hAnsi="Arial" w:cs="Arial"/>
          <w:b/>
          <w:bCs/>
          <w:color w:val="303F4C"/>
          <w:lang w:val="en-US"/>
        </w:rPr>
        <w:t>Toepassing Beleid Sloop voor Kansen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 17:09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Toepassing Beleid Sloop voor Kansen, 20241001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95,72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Toepassing-Beleid-Sloop-voor-Kansen-202410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