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77" w:history="1">
        <w:r>
          <w:rPr>
            <w:rFonts w:ascii="Arial" w:hAnsi="Arial" w:eastAsia="Arial" w:cs="Arial"/>
            <w:color w:val="155CAA"/>
            <w:u w:val="single"/>
          </w:rPr>
          <w:t xml:space="preserve">1 Toekenning Regio Deal Regio Zwolle 5e tranche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77"/>
      <w:r w:rsidRPr="00A448AC">
        <w:rPr>
          <w:rFonts w:ascii="Arial" w:hAnsi="Arial" w:cs="Arial"/>
          <w:b/>
          <w:bCs/>
          <w:color w:val="303F4C"/>
          <w:lang w:val="en-US"/>
        </w:rPr>
        <w:t>Toekenning Regio Deal Regio Zwolle 5e tranche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 12:58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Toekenning Regio Deal Regio Zwolle 5e tranche, 20240214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ekenning-Regio-Deal-Regio-Zwolle-5e-tranche-20240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