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5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uitvoeringsplan Burg. Backxlaan e.o. 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5"/>
      <w:r w:rsidRPr="00A448AC">
        <w:rPr>
          <w:rFonts w:ascii="Arial" w:hAnsi="Arial" w:cs="Arial"/>
          <w:b/>
          <w:bCs/>
          <w:color w:val="303F4C"/>
          <w:lang w:val="en-US"/>
        </w:rPr>
        <w:t>Stand van zaken uitvoeringsplan Burg. Backxlaan e.o.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18:45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uitvoeringsplan Burg. Backxlaan e.o. 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Stand-van-zaken-uitvoeringsplan-Burg-Backxlaan-e-o-202503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