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6" w:history="1">
        <w:r>
          <w:rPr>
            <w:rFonts w:ascii="Arial" w:hAnsi="Arial" w:eastAsia="Arial" w:cs="Arial"/>
            <w:color w:val="155CAA"/>
            <w:u w:val="single"/>
          </w:rPr>
          <w:t xml:space="preserve">1 Resultaten evaluatie beleid erfmolens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6"/>
      <w:r w:rsidRPr="00A448AC">
        <w:rPr>
          <w:rFonts w:ascii="Arial" w:hAnsi="Arial" w:cs="Arial"/>
          <w:b/>
          <w:bCs/>
          <w:color w:val="303F4C"/>
          <w:lang w:val="en-US"/>
        </w:rPr>
        <w:t>Resultaten evaluatie beleid erfmolens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 11:57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Resultaten evaluatie beleid erfmolens, 20240115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sultaten-evaluatie-beleid-erfmolens-202401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