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58" w:history="1">
        <w:r>
          <w:rPr>
            <w:rFonts w:ascii="Arial" w:hAnsi="Arial" w:eastAsia="Arial" w:cs="Arial"/>
            <w:color w:val="155CAA"/>
            <w:u w:val="single"/>
          </w:rPr>
          <w:t xml:space="preserve">1 Raadsmemo, Wereldwijde Orange the World campagne, 20201119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58"/>
      <w:r w:rsidRPr="00A448AC">
        <w:rPr>
          <w:rFonts w:ascii="Arial" w:hAnsi="Arial" w:cs="Arial"/>
          <w:b/>
          <w:bCs/>
          <w:color w:val="303F4C"/>
          <w:lang w:val="en-US"/>
        </w:rPr>
        <w:t>Raadsmemo, Wereldwijde Orange the World campagne,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Wereldwijde Orange the World campagne,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ereldwijde-Orange-the-World-campagne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