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36" w:history="1">
        <w:r>
          <w:rPr>
            <w:rFonts w:ascii="Arial" w:hAnsi="Arial" w:eastAsia="Arial" w:cs="Arial"/>
            <w:color w:val="155CAA"/>
            <w:u w:val="single"/>
          </w:rPr>
          <w:t xml:space="preserve">1 Raadsmemo Voortgang aanbevelingen Eindrapport Bestuurlijke Vernieuwing Fase 1-Quick Scan Lokale Democratie, 20211202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36"/>
      <w:r w:rsidRPr="00A448AC">
        <w:rPr>
          <w:rFonts w:ascii="Arial" w:hAnsi="Arial" w:cs="Arial"/>
          <w:b/>
          <w:bCs/>
          <w:color w:val="303F4C"/>
          <w:lang w:val="en-US"/>
        </w:rPr>
        <w:t>Raadsmemo Voortgang aanbevelingen Eindrapport Bestuurlijke Vernieuwing Fase 1-Quick Scan Lokale Democratie, 20211202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02-12-2021 12:49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Voortgang aanbevelingen Eindrapport Bestuurlijke Vernieuwing Fase 1-Quick Scan Lokale Democratie, 20211202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325,30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Voortgang-aanbevelingen-Eindrapport-Bestuurlijke-Vernieuwing-Fase-1-Quick-Scan-Lokale-Democratie-202112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