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53" w:history="1">
        <w:r>
          <w:rPr>
            <w:rFonts w:ascii="Arial" w:hAnsi="Arial" w:eastAsia="Arial" w:cs="Arial"/>
            <w:color w:val="155CAA"/>
            <w:u w:val="single"/>
          </w:rPr>
          <w:t xml:space="preserve">1 Raadsmemo Tijdelijke opvang asielzoekers-statushouders-Oekraïense vluchtelingen, 20220919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53"/>
      <w:r w:rsidRPr="00A448AC">
        <w:rPr>
          <w:rFonts w:ascii="Arial" w:hAnsi="Arial" w:cs="Arial"/>
          <w:b/>
          <w:bCs/>
          <w:color w:val="303F4C"/>
          <w:lang w:val="en-US"/>
        </w:rPr>
        <w:t>Raadsmemo Tijdelijke opvang asielzoekers-statushouders-Oekraïense vluchtelingen, 20220919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 16:07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Tijdelijke opvang asielzoekers-statushouders-Oekraïense vluchtelingen, 20220919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443,44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Tijdelijke-opvang-asielzoekers-statushouders-Oekraiense-vluchtelingen-202209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