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01:51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82" w:history="1">
        <w:r>
          <w:rPr>
            <w:rFonts w:ascii="Arial" w:hAnsi="Arial" w:eastAsia="Arial" w:cs="Arial"/>
            <w:color w:val="155CAA"/>
            <w:u w:val="single"/>
          </w:rPr>
          <w:t xml:space="preserve">1 Raadsmemo Stand van zaken motie ‘Accenten Dalfsen in de verstedelijkingsstrategie Regio Zwolle, 20220118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82"/>
      <w:r w:rsidRPr="00A448AC">
        <w:rPr>
          <w:rFonts w:ascii="Arial" w:hAnsi="Arial" w:cs="Arial"/>
          <w:b/>
          <w:bCs/>
          <w:color w:val="303F4C"/>
          <w:lang w:val="en-US"/>
        </w:rPr>
        <w:t>Raadsmemo Stand van zaken motie ‘Accenten Dalfsen in de verstedelijkingsstrategie Regio Zwolle, 20220118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24-01-2022 08:57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Stand van zaken motie ‘Accenten Dalfsen in de verstedelijkingsstrategie Regio Zwolle, 20220124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304,68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Stand-van-zaken-motie-Accenten-Dalfsen-in-de-verstedelijkingsstrategie-Regio-Zwolle-202201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