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0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Principeverzoek herontwikkeling Burgemeester Backxlaan 35, Nieuwleusen, 20220317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0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herontwikkeling Burgemeester Backxlaan 35, Nieuwleusen,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herontwikkeling Burgemeester Backxlaan 35, Nieuwleusen,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herontwikkeling-Burgemeester-Backxlaan-35-Nieuwleusen-2022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