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07" w:history="1">
        <w:r>
          <w:rPr>
            <w:rFonts w:ascii="Arial" w:hAnsi="Arial" w:eastAsia="Arial" w:cs="Arial"/>
            <w:color w:val="155CAA"/>
            <w:u w:val="single"/>
          </w:rPr>
          <w:t xml:space="preserve">1 Raadsmemo Pilot POH-Jeugd GGZ huisartsenpraktijk Lemelerveld, 20220510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07"/>
      <w:r w:rsidRPr="00A448AC">
        <w:rPr>
          <w:rFonts w:ascii="Arial" w:hAnsi="Arial" w:cs="Arial"/>
          <w:b/>
          <w:bCs/>
          <w:color w:val="303F4C"/>
          <w:lang w:val="en-US"/>
        </w:rPr>
        <w:t>Raadsmemo Pilot POH-Jeugd GGZ huisartsenpraktijk Lemelerveld, 20220510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10-05-2022 10:12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Pilot POH-Jeugd GGZ huisartsenpraktijk Lemelerveld, 20220510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262,27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Pilot-POH-Jeugd-GGZ-huisartsenpraktijk-Lemelerveld-2022051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