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05" w:history="1">
        <w:r>
          <w:rPr>
            <w:rFonts w:ascii="Arial" w:hAnsi="Arial" w:eastAsia="Arial" w:cs="Arial"/>
            <w:color w:val="155CAA"/>
            <w:u w:val="single"/>
          </w:rPr>
          <w:t xml:space="preserve">1 Raadsmemo Overdracht voormalige gemeentehuis Nieuwleusen, 20220510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05"/>
      <w:r w:rsidRPr="00A448AC">
        <w:rPr>
          <w:rFonts w:ascii="Arial" w:hAnsi="Arial" w:cs="Arial"/>
          <w:b/>
          <w:bCs/>
          <w:color w:val="303F4C"/>
          <w:lang w:val="en-US"/>
        </w:rPr>
        <w:t>Raadsmemo Overdracht voormalige gemeentehuis Nieuwleusen, 20220510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Overdracht voormalige gemeentehuis Nieuwleusen, 20220510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verdracht-voormalige-gemeentehuis-Nieuwleusen-202205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