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23:53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05" text:style-name="Internet_20_link" text:visited-style-name="Visited_20_Internet_20_Link">
              <text:span text:style-name="ListLabel_20_28">
                <text:span text:style-name="T8">1 Raadsmemo Overdracht voormalige gemeentehuis Nieuwleusen, 20220510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05"/>
        Raadsmemo Overdracht voormalige gemeentehuis Nieuwleusen, 20220510
        <text:bookmark-end text:name="4280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10-05-2022 09:44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Overdracht voormalige gemeentehuis Nieuwleusen, 20220510
              <text:span text:style-name="T3"/>
            </text:p>
            <text:p text:style-name="P7"/>
          </table:table-cell>
          <table:table-cell table:style-name="Table4.A2" office:value-type="string">
            <text:p text:style-name="P8">10-05-2022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252,23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Overdracht-voormalige-gemeentehuis-Nieuwleusen-202205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433" meta:non-whitespace-character-count="4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1279659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1279659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