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3" w:history="1">
        <w:r>
          <w:rPr>
            <w:rFonts w:ascii="Arial" w:hAnsi="Arial" w:eastAsia="Arial" w:cs="Arial"/>
            <w:color w:val="155CAA"/>
            <w:u w:val="single"/>
          </w:rPr>
          <w:t xml:space="preserve">1 Raadsmemo, Openstelling en tarieven zwembaden , 20210325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3"/>
      <w:r w:rsidRPr="00A448AC">
        <w:rPr>
          <w:rFonts w:ascii="Arial" w:hAnsi="Arial" w:cs="Arial"/>
          <w:b/>
          <w:bCs/>
          <w:color w:val="303F4C"/>
          <w:lang w:val="en-US"/>
        </w:rPr>
        <w:t>Raadsmemo, Openstelling en tarieven zwembaden 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Openstelling en tarieven zwembaden 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penstelling-en-tarieven-zwembaden-202103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