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59" w:history="1">
        <w:r>
          <w:rPr>
            <w:rFonts w:ascii="Arial" w:hAnsi="Arial" w:eastAsia="Arial" w:cs="Arial"/>
            <w:color w:val="155CAA"/>
            <w:u w:val="single"/>
          </w:rPr>
          <w:t xml:space="preserve">1 Raadsmemo Nota van Uitgangspunten MPG 2022, 20211221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59"/>
      <w:r w:rsidRPr="00A448AC">
        <w:rPr>
          <w:rFonts w:ascii="Arial" w:hAnsi="Arial" w:cs="Arial"/>
          <w:b/>
          <w:bCs/>
          <w:color w:val="303F4C"/>
          <w:lang w:val="en-US"/>
        </w:rPr>
        <w:t>Raadsmemo Nota van Uitgangspunten MPG 2022, 20211221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 16:04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Nota van Uitgangspunten MPG 2022, 20211221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Nota-van-Uitgangspunten-MPG-2022-202112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