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0" w:history="1">
        <w:r>
          <w:rPr>
            <w:rFonts w:ascii="Arial" w:hAnsi="Arial" w:eastAsia="Arial" w:cs="Arial"/>
            <w:color w:val="155CAA"/>
            <w:u w:val="single"/>
          </w:rPr>
          <w:t xml:space="preserve">1 Raadsmemo, Maatregelen gemeentelijke camperplaatsen Dalfsen en Nieuwleusen,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0"/>
      <w:r w:rsidRPr="00A448AC">
        <w:rPr>
          <w:rFonts w:ascii="Arial" w:hAnsi="Arial" w:cs="Arial"/>
          <w:b/>
          <w:bCs/>
          <w:color w:val="303F4C"/>
          <w:lang w:val="en-US"/>
        </w:rPr>
        <w:t>Raadsmemo, Maatregelen gemeentelijke camperplaatsen Dalfsen en Nieuwleusen,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Maatregelen gemeentelijke camperplaatsen Dalfsen en Nieuwleusen,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aatregelen-gemeentelijke-camperplaatsen-Dalfsen-en-Nieuwleusen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