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06" w:history="1">
        <w:r>
          <w:rPr>
            <w:rFonts w:ascii="Arial" w:hAnsi="Arial" w:eastAsia="Arial" w:cs="Arial"/>
            <w:color w:val="155CAA"/>
            <w:u w:val="single"/>
          </w:rPr>
          <w:t xml:space="preserve">1 Raadsmemo, Lokale verantwoording inzet burgemeestersbevoegdheden Twm en Trm COVID en 3e verantwoording VR IJsselland, 20210617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06"/>
      <w:r w:rsidRPr="00A448AC">
        <w:rPr>
          <w:rFonts w:ascii="Arial" w:hAnsi="Arial" w:cs="Arial"/>
          <w:b/>
          <w:bCs/>
          <w:color w:val="303F4C"/>
          <w:lang w:val="en-US"/>
        </w:rPr>
        <w:t>Raadsmemo, Lokale verantwoording inzet burgemeestersbevoegdheden Twm en Trm COVID en 3e verantwoording VR IJsselland, 20210617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17-06-2021 12:58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Lokale verantwoording inzet burgemeestersbevoegdheden Twm en Trm COVID en 3e verantwoording VR IJsselland, 20210617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681,13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Lokale-verantwoording-inzet-burgemeestersbevoegdheden-Twm-en-Trm-COVID-en-3e-verantwoording-VR-IJsselland-202106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