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09" w:history="1">
        <w:r>
          <w:rPr>
            <w:rFonts w:ascii="Arial" w:hAnsi="Arial" w:eastAsia="Arial" w:cs="Arial"/>
            <w:color w:val="155CAA"/>
            <w:u w:val="single"/>
          </w:rPr>
          <w:t xml:space="preserve">1 Raadsmemo Knelpunten rondom taakstelling Jeugdhulp, 20220510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09"/>
      <w:r w:rsidRPr="00A448AC">
        <w:rPr>
          <w:rFonts w:ascii="Arial" w:hAnsi="Arial" w:cs="Arial"/>
          <w:b/>
          <w:bCs/>
          <w:color w:val="303F4C"/>
          <w:lang w:val="en-US"/>
        </w:rPr>
        <w:t>Raadsmemo Knelpunten rondom taakstelling Jeugdhulp, 20220510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 13:05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Knelpunten rondom taakstelling Jeugdhulp, 20220510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898,79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nelpunten-rondom-taakstelling-Jeugdhulp-202205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