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69" w:history="1">
        <w:r>
          <w:rPr>
            <w:rFonts w:ascii="Arial" w:hAnsi="Arial" w:eastAsia="Arial" w:cs="Arial"/>
            <w:color w:val="155CAA"/>
            <w:u w:val="single"/>
          </w:rPr>
          <w:t xml:space="preserve">1 Raadsmemo, KPI-rapportage 2019, 20201203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69"/>
      <w:r w:rsidRPr="00A448AC">
        <w:rPr>
          <w:rFonts w:ascii="Arial" w:hAnsi="Arial" w:cs="Arial"/>
          <w:b/>
          <w:bCs/>
          <w:color w:val="303F4C"/>
          <w:lang w:val="en-US"/>
        </w:rPr>
        <w:t>Raadsmemo, KPI-rapportage 2019, 20201203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 12:04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KPI-rapportage 2019, 20201203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141,20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KPI-rapportage-2019-202012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