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911" text:style-name="Internet_20_link" text:visited-style-name="Visited_20_Internet_20_Link">
              <text:span text:style-name="ListLabel_20_28">
                <text:span text:style-name="T8">1 Raadsmemo, Inventarisatie klimaatrobuust inrichten bij woningbouwprojecten, motie GRP, 20220818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911"/>
        Raadsmemo, Inventarisatie klimaatrobuust inrichten bij woningbouwprojecten, motie GRP, 20220818
        <text:bookmark-end text:name="4291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18-08-2022 15:47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Inventarisatie klimaatrobuust inrichten bij woningbouwprojecten, motie GRP, 20220818
              <text:span text:style-name="T3"/>
            </text:p>
            <text:p text:style-name="P7"/>
          </table:table-cell>
          <table:table-cell table:style-name="Table4.A2" office:value-type="string">
            <text:p text:style-name="P8">18-08-2022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2,05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Inventarisatie-klimaatrobuust-inrichten-bij-woningbouwprojecten-motie-GRP-20220818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5" meta:character-count="518" meta:non-whitespace-character-count="48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582996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582996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