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3" w:history="1">
        <w:r>
          <w:rPr>
            <w:rFonts w:ascii="Arial" w:hAnsi="Arial" w:eastAsia="Arial" w:cs="Arial"/>
            <w:color w:val="155CAA"/>
            <w:u w:val="single"/>
          </w:rPr>
          <w:t xml:space="preserve">1 Raadsmemo, GGD IJsselland bestuursrapp najaar 2020, begrotingswijz en gezondheidsmonitor jeugd 2019-2020, 20201126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3"/>
      <w:r w:rsidRPr="00A448AC">
        <w:rPr>
          <w:rFonts w:ascii="Arial" w:hAnsi="Arial" w:cs="Arial"/>
          <w:b/>
          <w:bCs/>
          <w:color w:val="303F4C"/>
          <w:lang w:val="en-US"/>
        </w:rPr>
        <w:t>Raadsmemo, GGD IJsselland bestuursrapp najaar 2020, begrotingswijz en gezondheidsmonitor jeugd 2019-2020,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GGD IJsselland bestuursrapp najaar 2020, begrotingswijz en gezondheidsmonitor jeugd 2019-2020,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GGD-IJsselland-bestuursrapp-najaar-2020-begrotingswijz-en-gezondheidsmonitor-jeugd-2019-2020-202011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