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0" w:history="1">
        <w:r>
          <w:rPr>
            <w:rFonts w:ascii="Arial" w:hAnsi="Arial" w:eastAsia="Arial" w:cs="Arial"/>
            <w:color w:val="155CAA"/>
            <w:u w:val="single"/>
          </w:rPr>
          <w:t xml:space="preserve">1 Raadsmemo Evaluatie en actualisatie Uitgiftesysteem bouwgrond, 20220602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0"/>
      <w:r w:rsidRPr="00A448AC">
        <w:rPr>
          <w:rFonts w:ascii="Arial" w:hAnsi="Arial" w:cs="Arial"/>
          <w:b/>
          <w:bCs/>
          <w:color w:val="303F4C"/>
          <w:lang w:val="en-US"/>
        </w:rPr>
        <w:t>Raadsmemo Evaluatie en actualisatie Uitgiftesysteem bouwgrond,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Evaluatie en actualisatie Uitgiftesysteem bouwgrond,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382,43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valuatie-en-actualisatie-Uitgiftesysteem-bouwgrond-2022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