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79" w:history="1">
        <w:r>
          <w:rPr>
            <w:rFonts w:ascii="Arial" w:hAnsi="Arial" w:eastAsia="Arial" w:cs="Arial"/>
            <w:color w:val="155CAA"/>
            <w:u w:val="single"/>
          </w:rPr>
          <w:t xml:space="preserve">1 Raadsmemo Energiecompensatie kulturhusen, 20220707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79"/>
      <w:r w:rsidRPr="00A448AC">
        <w:rPr>
          <w:rFonts w:ascii="Arial" w:hAnsi="Arial" w:cs="Arial"/>
          <w:b/>
          <w:bCs/>
          <w:color w:val="303F4C"/>
          <w:lang w:val="en-US"/>
        </w:rPr>
        <w:t>Raadsmemo Energiecompensatie kulturhusen, 20220707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07-07-2022 13:30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Energiecompensatie kulturhusen, 20220707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256,90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Energiecompensatie-kulturhusen-202207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