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2" w:history="1">
        <w:r>
          <w:rPr>
            <w:rFonts w:ascii="Arial" w:hAnsi="Arial" w:eastAsia="Arial" w:cs="Arial"/>
            <w:color w:val="155CAA"/>
            <w:u w:val="single"/>
          </w:rPr>
          <w:t xml:space="preserve">1 Raadsmemo, Consequenties arrest Hoge Raad 26 november 2021, 20220328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2"/>
      <w:r w:rsidRPr="00A448AC">
        <w:rPr>
          <w:rFonts w:ascii="Arial" w:hAnsi="Arial" w:cs="Arial"/>
          <w:b/>
          <w:bCs/>
          <w:color w:val="303F4C"/>
          <w:lang w:val="en-US"/>
        </w:rPr>
        <w:t>Raadsmemo, Consequenties arrest Hoge Raad 26 november 2021,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Consequenties arrest Hoge Raad 26 november 2021,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nsequenties-arrest-Hoge-Raad-26-november-2021-2022032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