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11" w:history="1">
        <w:r>
          <w:rPr>
            <w:rFonts w:ascii="Arial" w:hAnsi="Arial" w:eastAsia="Arial" w:cs="Arial"/>
            <w:color w:val="155CAA"/>
            <w:u w:val="single"/>
          </w:rPr>
          <w:t xml:space="preserve">1 Raadsmemo, Bouw 2e woning op perceel Oosterhulst 5, 20210107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11"/>
      <w:r w:rsidRPr="00A448AC">
        <w:rPr>
          <w:rFonts w:ascii="Arial" w:hAnsi="Arial" w:cs="Arial"/>
          <w:b/>
          <w:bCs/>
          <w:color w:val="303F4C"/>
          <w:lang w:val="en-US"/>
        </w:rPr>
        <w:t>Raadsmemo, Bouw 2e woning op perceel Oosterhulst 5, 20210107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07-01-2021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Bouw 2e woning op perceel Oosterhulst 5, 20210107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ouw-2e-woning-op-perceel-Oosterhulst-5-2021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