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7" w:history="1">
        <w:r>
          <w:rPr>
            <w:rFonts w:ascii="Arial" w:hAnsi="Arial" w:eastAsia="Arial" w:cs="Arial"/>
            <w:color w:val="155CAA"/>
            <w:u w:val="single"/>
          </w:rPr>
          <w:t xml:space="preserve">1 Raadsmemo Beleidsregel giften Participatiewet 2022, 20221013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7"/>
      <w:r w:rsidRPr="00A448AC">
        <w:rPr>
          <w:rFonts w:ascii="Arial" w:hAnsi="Arial" w:cs="Arial"/>
          <w:b/>
          <w:bCs/>
          <w:color w:val="303F4C"/>
          <w:lang w:val="en-US"/>
        </w:rPr>
        <w:t>Raadsmemo Beleidsregel giften Participatiewet 2022, 20221013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 09:23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Beleidsregel giften Participatiewet 2022, 20221013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leidsregel-giften-Participatiewet-2022-202210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