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23:25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722" text:style-name="Internet_20_link" text:visited-style-name="Visited_20_Internet_20_Link">
              <text:span text:style-name="ListLabel_20_28">
                <text:span text:style-name="T8">1 Raadsmemo, Beleidsregel Gemeentepromotie, 20220217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722"/>
        Raadsmemo, Beleidsregel Gemeentepromotie, 20220217
        <text:bookmark-end text:name="4272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17-02-2022 12:07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Beleidsregel Gemeentepromotie, 20220217
              <text:span text:style-name="T3"/>
            </text:p>
            <text:p text:style-name="P7"/>
          </table:table-cell>
          <table:table-cell table:style-name="Table4.A2" office:value-type="string">
            <text:p text:style-name="P8">17-02-2022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424,81 KB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Beleidsregel-Gemeentepromotie-20220217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50" meta:character-count="385" meta:non-whitespace-character-count="36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1577184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1577184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