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3" w:history="1">
        <w:r>
          <w:rPr>
            <w:rFonts w:ascii="Arial" w:hAnsi="Arial" w:eastAsia="Arial" w:cs="Arial"/>
            <w:color w:val="155CAA"/>
            <w:u w:val="single"/>
          </w:rPr>
          <w:t xml:space="preserve">1 Raadsmemo, Aanleg glasvezelnetwerk Hoonhorst, Oudleusen en Nieuwleusen,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3"/>
      <w:r w:rsidRPr="00A448AC">
        <w:rPr>
          <w:rFonts w:ascii="Arial" w:hAnsi="Arial" w:cs="Arial"/>
          <w:b/>
          <w:bCs/>
          <w:color w:val="303F4C"/>
          <w:lang w:val="en-US"/>
        </w:rPr>
        <w:t>Raadsmemo, Aanleg glasvezelnetwerk Hoonhorst, Oudleusen en Nieuwleusen,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Aanleg glasvezelnetwerk Hoonhorst, Oudleusen en Nieuwleusen,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anleg-glasvezelnetwerk-Hoonhorst-Oudleusen-en-Nieuwleusen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