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16" w:history="1">
        <w:r>
          <w:rPr>
            <w:rFonts w:ascii="Arial" w:hAnsi="Arial" w:eastAsia="Arial" w:cs="Arial"/>
            <w:color w:val="155CAA"/>
            <w:u w:val="single"/>
          </w:rPr>
          <w:t xml:space="preserve">1 Procedure omgevingsvergunning onder de Omgevingswet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16"/>
      <w:r w:rsidRPr="00A448AC">
        <w:rPr>
          <w:rFonts w:ascii="Arial" w:hAnsi="Arial" w:cs="Arial"/>
          <w:b/>
          <w:bCs/>
          <w:color w:val="303F4C"/>
          <w:lang w:val="en-US"/>
        </w:rPr>
        <w:t>Procedure omgevingsvergunning onder de Omgevingswet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24-10-2024 11:23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Procedure omgevingsvergunning onder de Omgevingswet, 202410124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Procedure-omgevingsvergunning-onder-de-Omgevingswet-2024101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