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0" w:history="1">
        <w:r>
          <w:rPr>
            <w:rFonts w:ascii="Arial" w:hAnsi="Arial" w:eastAsia="Arial" w:cs="Arial"/>
            <w:color w:val="155CAA"/>
            <w:u w:val="single"/>
          </w:rPr>
          <w:t xml:space="preserve">1 Landelijke Handhavingsstrategie Omgevingsrecht (LHSO)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0"/>
      <w:r w:rsidRPr="00A448AC">
        <w:rPr>
          <w:rFonts w:ascii="Arial" w:hAnsi="Arial" w:cs="Arial"/>
          <w:b/>
          <w:bCs/>
          <w:color w:val="303F4C"/>
          <w:lang w:val="en-US"/>
        </w:rPr>
        <w:t>Landelijke Handhavingsstrategie Omgevingsrecht (LHSO)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 13:47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Landelijke Handhavingsstrategie Omgevingsrecht (LHSO), 20240919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1.011,60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Landelijke-Handhavingsstrategie-Omgevingsrecht-LHSO-202409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