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6" w:history="1">
        <w:r>
          <w:rPr>
            <w:rFonts w:ascii="Arial" w:hAnsi="Arial" w:eastAsia="Arial" w:cs="Arial"/>
            <w:color w:val="155CAA"/>
            <w:u w:val="single"/>
          </w:rPr>
          <w:t xml:space="preserve">1 Grondstoffenmonitor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6"/>
      <w:r w:rsidRPr="00A448AC">
        <w:rPr>
          <w:rFonts w:ascii="Arial" w:hAnsi="Arial" w:cs="Arial"/>
          <w:b/>
          <w:bCs/>
          <w:color w:val="303F4C"/>
          <w:lang w:val="en-US"/>
        </w:rPr>
        <w:t>Grondstoffenmonitor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Grondstoffenmonitor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Grondstoffenmonitor-2024-202506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