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56" text:style-name="Internet_20_link" text:visited-style-name="Visited_20_Internet_20_Link">
              <text:span text:style-name="ListLabel_20_28">
                <text:span text:style-name="T8">1 Gedragscode soortbescherming gemeenten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56"/>
        Gedragscode soortbescherming gemeenten 2023
        <text:bookmark-end text:name="435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20-08-2024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Gedragscode soortbescherming gemeenten 2023, 13082024
              <text:span text:style-name="T3"/>
            </text:p>
            <text:p text:style-name="P7"/>
          </table:table-cell>
          <table:table-cell table:style-name="Table4.A2" office:value-type="string">
            <text:p text:style-name="P8">20-08-2024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dragscode-soortbescherming-gemeenten-2023-1308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Bijlage, Gedragscode soortbescherming gemeenten 2023
              <text:span text:style-name="T3"/>
            </text:p>
            <text:p text:style-name="P7"/>
          </table:table-cell>
          <table:table-cell table:style-name="Table4.A2" office:value-type="string">
            <text:p text:style-name="P8">20-08-2024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2,88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Gedragscode-soortbescherming-gemeenten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3" meta:character-count="465" meta:non-whitespace-character-count="4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625626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625626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