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9" w:history="1">
        <w:r>
          <w:rPr>
            <w:rFonts w:ascii="Arial" w:hAnsi="Arial" w:eastAsia="Arial" w:cs="Arial"/>
            <w:color w:val="155CAA"/>
            <w:u w:val="single"/>
          </w:rPr>
          <w:t xml:space="preserve">1 Frauderisicoanalyse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9"/>
      <w:r w:rsidRPr="00A448AC">
        <w:rPr>
          <w:rFonts w:ascii="Arial" w:hAnsi="Arial" w:cs="Arial"/>
          <w:b/>
          <w:bCs/>
          <w:color w:val="303F4C"/>
          <w:lang w:val="en-US"/>
        </w:rPr>
        <w:t>Frauderisicoanalyse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Frauderisicoanalyse 2024, 20250331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Frauderisicoanalyse-2024-2025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