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02" w:history="1">
        <w:r>
          <w:rPr>
            <w:rFonts w:ascii="Arial" w:hAnsi="Arial" w:eastAsia="Arial" w:cs="Arial"/>
            <w:color w:val="155CAA"/>
            <w:u w:val="single"/>
          </w:rPr>
          <w:t xml:space="preserve">1 Eindrapportage Verbijzonderde Interne Controle (VIC)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02"/>
      <w:r w:rsidRPr="00A448AC">
        <w:rPr>
          <w:rFonts w:ascii="Arial" w:hAnsi="Arial" w:cs="Arial"/>
          <w:b/>
          <w:bCs/>
          <w:color w:val="303F4C"/>
          <w:lang w:val="en-US"/>
        </w:rPr>
        <w:t>Eindrapportage Verbijzonderde Interne Controle (VIC)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03-06-2024 13:40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Eindrapportage Verbijzonderde Interne Controle (VIC) 2023, 20240603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572,13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Eindrapportage-Verbijzonderde-Interne-Controle-VIC-2023-202406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