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02" text:style-name="Internet_20_link" text:visited-style-name="Visited_20_Internet_20_Link">
              <text:span text:style-name="ListLabel_20_28">
                <text:span text:style-name="T8">1 Eindrapportage Verbijzonderde Interne Controle (VIC)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02"/>
        Eindrapportage Verbijzonderde Interne Controle (VIC) 2023
        <text:bookmark-end text:name="435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03-06-2024 13:40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Eindrapportage Verbijzonderde Interne Controle (VIC) 2023, 20240603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572,13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indrapportage-Verbijzonderde-Interne-Controle-VIC-2023-2024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27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